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6ADCBA5C" w14:textId="2FACDE94" w:rsidR="001D77EC" w:rsidRPr="00467DC3" w:rsidRDefault="001D77EC" w:rsidP="001D77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</w:t>
      </w:r>
      <w:r w:rsidRPr="00467DC3">
        <w:rPr>
          <w:b/>
          <w:noProof/>
          <w:sz w:val="24"/>
        </w:rPr>
        <w:t>-e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11</w:t>
      </w:r>
      <w:r w:rsidR="000D5922">
        <w:rPr>
          <w:b/>
          <w:i/>
          <w:noProof/>
          <w:sz w:val="28"/>
        </w:rPr>
        <w:t>8160</w:t>
      </w:r>
    </w:p>
    <w:p w14:paraId="30E65C86" w14:textId="77777777" w:rsidR="001D77EC" w:rsidRPr="00467DC3" w:rsidRDefault="001D77EC" w:rsidP="001D77EC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>
        <w:rPr>
          <w:sz w:val="24"/>
        </w:rPr>
        <w:t>November 1</w:t>
      </w:r>
      <w:r w:rsidRPr="001300CB">
        <w:rPr>
          <w:sz w:val="24"/>
          <w:vertAlign w:val="superscript"/>
        </w:rPr>
        <w:t>st</w:t>
      </w:r>
      <w:r>
        <w:rPr>
          <w:sz w:val="24"/>
        </w:rPr>
        <w:t xml:space="preserve"> – 12</w:t>
      </w:r>
      <w:r w:rsidRPr="001300CB">
        <w:rPr>
          <w:sz w:val="24"/>
          <w:vertAlign w:val="superscript"/>
        </w:rPr>
        <w:t>th</w:t>
      </w:r>
      <w:r>
        <w:rPr>
          <w:sz w:val="24"/>
        </w:rPr>
        <w:t>,</w:t>
      </w:r>
      <w:r w:rsidRPr="00467DC3">
        <w:rPr>
          <w:sz w:val="24"/>
        </w:rPr>
        <w:t xml:space="preserve"> 202</w:t>
      </w:r>
      <w:r>
        <w:rPr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1E5B8924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807EBA">
        <w:t xml:space="preserve">NTN: </w:t>
      </w:r>
      <w:r w:rsidR="007C38EF">
        <w:t>Satellite Access node RF Tx</w:t>
      </w:r>
    </w:p>
    <w:p w14:paraId="38171D17" w14:textId="55C971AB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866CE8">
        <w:t>8.13.3.1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45A5EF41" w14:textId="68B7C9F9" w:rsidR="004F05E7" w:rsidRDefault="004F05E7" w:rsidP="004F05E7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NTN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 w:rsidR="005668DD">
        <w:rPr>
          <w:rFonts w:eastAsia="MS Mincho"/>
          <w:lang w:val="en-US" w:eastAsia="ja-JP"/>
        </w:rPr>
        <w:fldChar w:fldCharType="begin"/>
      </w:r>
      <w:r w:rsidR="005668DD">
        <w:rPr>
          <w:rFonts w:eastAsia="MS Mincho"/>
          <w:lang w:val="en-US" w:eastAsia="ja-JP"/>
        </w:rPr>
        <w:instrText xml:space="preserve"> REF _Ref71297840 \r \h </w:instrText>
      </w:r>
      <w:r w:rsidR="005668DD">
        <w:rPr>
          <w:rFonts w:eastAsia="MS Mincho"/>
          <w:lang w:val="en-US" w:eastAsia="ja-JP"/>
        </w:rPr>
      </w:r>
      <w:r w:rsidR="005668DD">
        <w:rPr>
          <w:rFonts w:eastAsia="MS Mincho"/>
          <w:lang w:val="en-US" w:eastAsia="ja-JP"/>
        </w:rPr>
        <w:fldChar w:fldCharType="separate"/>
      </w:r>
      <w:r w:rsidR="0098069F">
        <w:rPr>
          <w:rFonts w:eastAsia="MS Mincho"/>
          <w:lang w:val="en-US" w:eastAsia="ja-JP"/>
        </w:rPr>
        <w:t>[1]</w:t>
      </w:r>
      <w:r w:rsidR="005668DD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>has been approved in RAN#</w:t>
      </w:r>
      <w:r>
        <w:rPr>
          <w:rFonts w:eastAsia="MS Mincho"/>
          <w:lang w:val="en-US" w:eastAsia="ja-JP"/>
        </w:rPr>
        <w:t>88e</w:t>
      </w:r>
      <w:r w:rsidRPr="00C647B4">
        <w:rPr>
          <w:rFonts w:eastAsia="MS Mincho"/>
          <w:lang w:val="en-US" w:eastAsia="ja-JP"/>
        </w:rPr>
        <w:t xml:space="preserve"> meeting to specify requirement</w:t>
      </w:r>
      <w:r>
        <w:rPr>
          <w:rFonts w:eastAsia="MS Mincho"/>
          <w:lang w:val="en-US" w:eastAsia="ja-JP"/>
        </w:rPr>
        <w:t>s</w:t>
      </w:r>
      <w:r w:rsidRPr="00C647B4">
        <w:rPr>
          <w:rFonts w:eastAsia="MS Mincho"/>
          <w:lang w:val="en-US" w:eastAsia="ja-JP"/>
        </w:rPr>
        <w:t xml:space="preserve"> for the support of NTN. </w:t>
      </w:r>
      <w:r>
        <w:rPr>
          <w:rFonts w:eastAsia="MS Mincho"/>
          <w:lang w:val="en-US" w:eastAsia="ja-JP"/>
        </w:rPr>
        <w:t>It has been revised in last RAN#</w:t>
      </w:r>
      <w:r w:rsidR="00544FF3">
        <w:rPr>
          <w:rFonts w:eastAsia="MS Mincho"/>
          <w:lang w:val="en-US" w:eastAsia="ja-JP"/>
        </w:rPr>
        <w:t>9</w:t>
      </w:r>
      <w:r w:rsidR="001D77EC">
        <w:rPr>
          <w:rFonts w:eastAsia="MS Mincho"/>
          <w:lang w:val="en-US" w:eastAsia="ja-JP"/>
        </w:rPr>
        <w:t>3</w:t>
      </w:r>
      <w:r>
        <w:rPr>
          <w:rFonts w:eastAsia="MS Mincho"/>
          <w:lang w:val="en-US" w:eastAsia="ja-JP"/>
        </w:rPr>
        <w:t>-e meeting</w:t>
      </w:r>
      <w:r w:rsidR="00C56E50">
        <w:rPr>
          <w:rFonts w:eastAsia="MS Mincho"/>
          <w:lang w:val="en-US" w:eastAsia="ja-JP"/>
        </w:rPr>
        <w:t xml:space="preserve"> </w:t>
      </w:r>
      <w:r w:rsidR="00C56E50">
        <w:rPr>
          <w:rFonts w:eastAsia="MS Mincho"/>
          <w:lang w:val="en-US" w:eastAsia="ja-JP"/>
        </w:rPr>
        <w:fldChar w:fldCharType="begin"/>
      </w:r>
      <w:r w:rsidR="00C56E50">
        <w:rPr>
          <w:rFonts w:eastAsia="MS Mincho"/>
          <w:lang w:val="en-US" w:eastAsia="ja-JP"/>
        </w:rPr>
        <w:instrText xml:space="preserve"> REF _Ref61295180 \r \h </w:instrText>
      </w:r>
      <w:r w:rsidR="00C56E50">
        <w:rPr>
          <w:rFonts w:eastAsia="MS Mincho"/>
          <w:lang w:val="en-US" w:eastAsia="ja-JP"/>
        </w:rPr>
      </w:r>
      <w:r w:rsidR="00C56E50">
        <w:rPr>
          <w:rFonts w:eastAsia="MS Mincho"/>
          <w:lang w:val="en-US" w:eastAsia="ja-JP"/>
        </w:rPr>
        <w:fldChar w:fldCharType="separate"/>
      </w:r>
      <w:r w:rsidR="0098069F">
        <w:rPr>
          <w:rFonts w:eastAsia="MS Mincho"/>
          <w:lang w:val="en-US" w:eastAsia="ja-JP"/>
        </w:rPr>
        <w:t>[2]</w:t>
      </w:r>
      <w:r w:rsidR="00C56E50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>.</w:t>
      </w:r>
    </w:p>
    <w:p w14:paraId="137B4EEB" w14:textId="66C88A12" w:rsidR="006B44BC" w:rsidRDefault="006B44BC" w:rsidP="004F05E7">
      <w:pPr>
        <w:shd w:val="clear" w:color="auto" w:fill="FFFFFF"/>
        <w:rPr>
          <w:rFonts w:eastAsia="MS Mincho"/>
          <w:lang w:val="en-US" w:eastAsia="ja-JP"/>
        </w:rPr>
      </w:pPr>
      <w:r w:rsidRPr="009B397B">
        <w:rPr>
          <w:rFonts w:eastAsia="MS Mincho"/>
          <w:lang w:val="en-US" w:eastAsia="ja-JP"/>
        </w:rPr>
        <w:t xml:space="preserve">In last RAN4 meeting, </w:t>
      </w:r>
      <w:r w:rsidR="002A3752">
        <w:rPr>
          <w:rFonts w:eastAsia="MS Mincho"/>
          <w:lang w:val="en-US" w:eastAsia="ja-JP"/>
        </w:rPr>
        <w:t xml:space="preserve">a Way Forwards related to BS RF requirements </w:t>
      </w:r>
      <w:r w:rsidR="002E0167">
        <w:rPr>
          <w:rFonts w:eastAsia="MS Mincho"/>
          <w:lang w:val="en-US" w:eastAsia="ja-JP"/>
        </w:rPr>
        <w:t>(</w:t>
      </w:r>
      <w:r w:rsidR="00727FE4">
        <w:rPr>
          <w:rFonts w:eastAsia="MS Mincho"/>
          <w:lang w:val="en-US" w:eastAsia="ja-JP"/>
        </w:rPr>
        <w:fldChar w:fldCharType="begin"/>
      </w:r>
      <w:r w:rsidR="00727FE4">
        <w:rPr>
          <w:rFonts w:eastAsia="MS Mincho"/>
          <w:lang w:val="en-US" w:eastAsia="ja-JP"/>
        </w:rPr>
        <w:instrText xml:space="preserve"> REF _Ref67507636 \r \h </w:instrText>
      </w:r>
      <w:r w:rsidR="00727FE4">
        <w:rPr>
          <w:rFonts w:eastAsia="MS Mincho"/>
          <w:lang w:val="en-US" w:eastAsia="ja-JP"/>
        </w:rPr>
      </w:r>
      <w:r w:rsidR="00727FE4">
        <w:rPr>
          <w:rFonts w:eastAsia="MS Mincho"/>
          <w:lang w:val="en-US" w:eastAsia="ja-JP"/>
        </w:rPr>
        <w:fldChar w:fldCharType="separate"/>
      </w:r>
      <w:r w:rsidR="00727FE4">
        <w:rPr>
          <w:rFonts w:eastAsia="MS Mincho"/>
          <w:lang w:val="en-US" w:eastAsia="ja-JP"/>
        </w:rPr>
        <w:t>[3]</w:t>
      </w:r>
      <w:r w:rsidR="00727FE4">
        <w:rPr>
          <w:rFonts w:eastAsia="MS Mincho"/>
          <w:lang w:val="en-US" w:eastAsia="ja-JP"/>
        </w:rPr>
        <w:fldChar w:fldCharType="end"/>
      </w:r>
      <w:r w:rsidR="002E0167">
        <w:rPr>
          <w:rFonts w:eastAsia="MS Mincho"/>
          <w:lang w:val="en-US" w:eastAsia="ja-JP"/>
        </w:rPr>
        <w:t>)</w:t>
      </w:r>
      <w:r w:rsidR="002A3752">
        <w:rPr>
          <w:rFonts w:eastAsia="MS Mincho"/>
          <w:lang w:val="en-US" w:eastAsia="ja-JP"/>
        </w:rPr>
        <w:t xml:space="preserve"> was agreed</w:t>
      </w:r>
      <w:r w:rsidR="002E0167">
        <w:rPr>
          <w:rFonts w:eastAsia="MS Mincho"/>
          <w:lang w:val="en-US" w:eastAsia="ja-JP"/>
        </w:rPr>
        <w:t>.</w:t>
      </w:r>
      <w:r w:rsidR="002A3752">
        <w:rPr>
          <w:rFonts w:eastAsia="MS Mincho"/>
          <w:lang w:val="en-US" w:eastAsia="ja-JP"/>
        </w:rPr>
        <w:t xml:space="preserve"> This contribution is going through Tx requirements which would need further discussion.</w:t>
      </w:r>
    </w:p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666B5175" w14:textId="554EB1CC" w:rsidR="00520AFE" w:rsidRDefault="00E06DB0" w:rsidP="00E06DB0">
      <w:pPr>
        <w:pStyle w:val="Heading2"/>
        <w:rPr>
          <w:lang w:eastAsia="zh-CN"/>
        </w:rPr>
      </w:pPr>
      <w:r w:rsidRPr="00E06DB0">
        <w:rPr>
          <w:lang w:eastAsia="zh-CN"/>
        </w:rPr>
        <w:t xml:space="preserve">Tx spurious </w:t>
      </w:r>
    </w:p>
    <w:p w14:paraId="00A73039" w14:textId="7534B9C5" w:rsidR="00EC5E4C" w:rsidRDefault="00EC5E4C" w:rsidP="00EC5E4C">
      <w:pPr>
        <w:rPr>
          <w:lang w:val="en-GB" w:eastAsia="zh-CN"/>
        </w:rPr>
      </w:pPr>
      <w:r>
        <w:rPr>
          <w:lang w:val="en-GB" w:eastAsia="zh-CN"/>
        </w:rPr>
        <w:t>In last RAN4#100-e meeting, following statement on transmitter spurious emissions was captured in the WF on BS (or satellite node) RF requirements:</w:t>
      </w:r>
    </w:p>
    <w:p w14:paraId="2BA3C91D" w14:textId="77777777" w:rsidR="00EC5E4C" w:rsidRPr="00EC5E4C" w:rsidRDefault="00EC5E4C" w:rsidP="00EC5E4C">
      <w:pPr>
        <w:ind w:firstLine="432"/>
        <w:rPr>
          <w:lang w:eastAsia="zh-CN"/>
        </w:rPr>
      </w:pPr>
      <w:r w:rsidRPr="00EC5E4C">
        <w:rPr>
          <w:lang w:val="en-US" w:eastAsia="zh-CN"/>
        </w:rPr>
        <w:t>U</w:t>
      </w:r>
      <w:r w:rsidRPr="00EC5E4C">
        <w:rPr>
          <w:lang w:val="en-GB" w:eastAsia="zh-CN"/>
        </w:rPr>
        <w:t>se 38.104 requirement as starting point and further check compliance to ERC 74-01 for Europe.</w:t>
      </w:r>
    </w:p>
    <w:p w14:paraId="02C7BBF9" w14:textId="69ADA09A" w:rsidR="00EC5E4C" w:rsidRDefault="00EC5E4C" w:rsidP="00EC5E4C">
      <w:pPr>
        <w:rPr>
          <w:lang w:val="en-GB" w:eastAsia="zh-CN"/>
        </w:rPr>
      </w:pPr>
    </w:p>
    <w:p w14:paraId="44F722D7" w14:textId="4849C964" w:rsidR="00EC5E4C" w:rsidRDefault="00EC5E4C" w:rsidP="00EC5E4C">
      <w:pPr>
        <w:rPr>
          <w:lang w:val="en-GB" w:eastAsia="zh-CN"/>
        </w:rPr>
      </w:pPr>
      <w:r>
        <w:rPr>
          <w:lang w:val="en-GB" w:eastAsia="zh-CN"/>
        </w:rPr>
        <w:t>Checking further ERC 74-01, the Recommendation specifies spurious emission limits based on the type of service or equipment (Table 2 from ERC 74-01).</w:t>
      </w:r>
    </w:p>
    <w:p w14:paraId="0BAF960D" w14:textId="5B37AFE4" w:rsidR="00EC5E4C" w:rsidRDefault="00EC5E4C" w:rsidP="00EC5E4C">
      <w:pPr>
        <w:rPr>
          <w:lang w:val="en-GB" w:eastAsia="zh-CN"/>
        </w:rPr>
      </w:pPr>
      <w:r>
        <w:rPr>
          <w:lang w:val="en-GB" w:eastAsia="zh-CN"/>
        </w:rPr>
        <w:t>Spurious limits specified in TS 38.104 are obviously based on ERC 74-01 limits specified for Land Mobile Service (Annex 2).</w:t>
      </w:r>
    </w:p>
    <w:p w14:paraId="02639EB7" w14:textId="741B1BB5" w:rsidR="00EC5E4C" w:rsidRDefault="00EC5E4C" w:rsidP="00EC5E4C">
      <w:pPr>
        <w:rPr>
          <w:lang w:val="en-GB" w:eastAsia="zh-CN"/>
        </w:rPr>
      </w:pPr>
      <w:r>
        <w:rPr>
          <w:lang w:val="en-GB" w:eastAsia="zh-CN"/>
        </w:rPr>
        <w:t>But</w:t>
      </w:r>
      <w:r w:rsidR="007B2B4B">
        <w:rPr>
          <w:lang w:val="en-GB" w:eastAsia="zh-CN"/>
        </w:rPr>
        <w:t xml:space="preserve">, in the case of NTN, </w:t>
      </w:r>
      <w:r>
        <w:rPr>
          <w:lang w:val="en-GB" w:eastAsia="zh-CN"/>
        </w:rPr>
        <w:t>the satell</w:t>
      </w:r>
      <w:r w:rsidR="007B2B4B">
        <w:rPr>
          <w:lang w:val="en-GB" w:eastAsia="zh-CN"/>
        </w:rPr>
        <w:t>i</w:t>
      </w:r>
      <w:r>
        <w:rPr>
          <w:lang w:val="en-GB" w:eastAsia="zh-CN"/>
        </w:rPr>
        <w:t>te access node</w:t>
      </w:r>
      <w:r w:rsidR="007B2B4B">
        <w:rPr>
          <w:lang w:val="en-GB" w:eastAsia="zh-CN"/>
        </w:rPr>
        <w:t xml:space="preserve"> should most likely be considered as an equipment for Satellite service, and not Land Mobile service. The reference to TS 38.104 would not be applicable then.</w:t>
      </w:r>
    </w:p>
    <w:p w14:paraId="4F02DD1F" w14:textId="451AFFE4" w:rsidR="007B2B4B" w:rsidRDefault="007B2B4B" w:rsidP="00EC5E4C">
      <w:pPr>
        <w:rPr>
          <w:lang w:val="en-GB" w:eastAsia="zh-CN"/>
        </w:rPr>
      </w:pPr>
      <w:r>
        <w:rPr>
          <w:lang w:val="en-GB" w:eastAsia="zh-CN"/>
        </w:rPr>
        <w:t>For Satellite service, ERC 74-01 specifies limits depending on the type of equipment: VSAT, Mobile Earth Stations, Land Mobile Earth Stations, Other Fixed Earth Stations or Space Stations.</w:t>
      </w:r>
    </w:p>
    <w:p w14:paraId="131B2E35" w14:textId="748E1B55" w:rsidR="007B2B4B" w:rsidRDefault="007B2B4B" w:rsidP="00D30CD6">
      <w:pPr>
        <w:rPr>
          <w:lang w:val="en-GB" w:eastAsia="zh-CN"/>
        </w:rPr>
      </w:pPr>
      <w:r w:rsidRPr="007B2B4B">
        <w:rPr>
          <w:lang w:val="en-GB" w:eastAsia="zh-CN"/>
        </w:rPr>
        <w:t xml:space="preserve">As shown </w:t>
      </w:r>
      <w:r>
        <w:rPr>
          <w:lang w:val="en-GB" w:eastAsia="zh-CN"/>
        </w:rPr>
        <w:t xml:space="preserve">on </w:t>
      </w:r>
      <w:r w:rsidR="006C1B72">
        <w:rPr>
          <w:lang w:val="en-GB" w:eastAsia="zh-CN"/>
        </w:rPr>
        <w:fldChar w:fldCharType="begin"/>
      </w:r>
      <w:r w:rsidR="006C1B72">
        <w:rPr>
          <w:lang w:val="en-GB" w:eastAsia="zh-CN"/>
        </w:rPr>
        <w:instrText xml:space="preserve"> REF _Ref84413655 \h </w:instrText>
      </w:r>
      <w:r w:rsidR="006C1B72">
        <w:rPr>
          <w:lang w:val="en-GB" w:eastAsia="zh-CN"/>
        </w:rPr>
      </w:r>
      <w:r w:rsidR="006C1B72">
        <w:rPr>
          <w:lang w:val="en-GB" w:eastAsia="zh-CN"/>
        </w:rPr>
        <w:fldChar w:fldCharType="separate"/>
      </w:r>
      <w:r w:rsidR="006C1B72">
        <w:t xml:space="preserve">Figure </w:t>
      </w:r>
      <w:r w:rsidR="006C1B72">
        <w:rPr>
          <w:noProof/>
        </w:rPr>
        <w:t>1</w:t>
      </w:r>
      <w:r w:rsidR="006C1B72">
        <w:rPr>
          <w:lang w:val="en-GB" w:eastAsia="zh-CN"/>
        </w:rPr>
        <w:fldChar w:fldCharType="end"/>
      </w:r>
      <w:r>
        <w:rPr>
          <w:lang w:val="en-GB" w:eastAsia="zh-CN"/>
        </w:rPr>
        <w:t>, the satellite access node contains a satellite station (NTN payload) and a Earth Station (NTN Gateway), it might not be obvious to select the appropriate ERC 74-01 limits.</w:t>
      </w:r>
    </w:p>
    <w:p w14:paraId="61CDA30F" w14:textId="77777777" w:rsidR="007B2B4B" w:rsidRDefault="007B2B4B" w:rsidP="007B2B4B">
      <w:pPr>
        <w:keepNext/>
        <w:ind w:firstLine="720"/>
      </w:pPr>
      <w:r>
        <w:rPr>
          <w:noProof/>
          <w:lang w:val="en-GB" w:eastAsia="zh-CN"/>
        </w:rPr>
        <w:lastRenderedPageBreak/>
        <w:drawing>
          <wp:inline distT="0" distB="0" distL="0" distR="0" wp14:anchorId="69409415" wp14:editId="6D7DDE24">
            <wp:extent cx="5019040" cy="1943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040" cy="194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F5656B" w14:textId="4C5180F1" w:rsidR="007B2B4B" w:rsidRDefault="007B2B4B" w:rsidP="007B2B4B">
      <w:pPr>
        <w:pStyle w:val="Caption"/>
        <w:ind w:left="1440" w:firstLine="720"/>
      </w:pPr>
      <w:bookmarkStart w:id="1" w:name="_Ref84413655"/>
      <w:r>
        <w:t xml:space="preserve">Figure </w:t>
      </w:r>
      <w:r w:rsidR="00AF1EBD">
        <w:fldChar w:fldCharType="begin"/>
      </w:r>
      <w:r w:rsidR="00AF1EBD">
        <w:instrText xml:space="preserve"> SEQ Figure \* ARABIC </w:instrText>
      </w:r>
      <w:r w:rsidR="00AF1EBD">
        <w:fldChar w:fldCharType="separate"/>
      </w:r>
      <w:r w:rsidR="006C1B72">
        <w:rPr>
          <w:noProof/>
        </w:rPr>
        <w:t>1</w:t>
      </w:r>
      <w:r w:rsidR="00AF1EBD">
        <w:rPr>
          <w:noProof/>
        </w:rPr>
        <w:fldChar w:fldCharType="end"/>
      </w:r>
      <w:bookmarkEnd w:id="1"/>
      <w:r>
        <w:t>: NTN architecture</w:t>
      </w:r>
    </w:p>
    <w:p w14:paraId="5B7CE798" w14:textId="77777777" w:rsidR="007B2B4B" w:rsidRDefault="007B2B4B" w:rsidP="00D30CD6">
      <w:pPr>
        <w:rPr>
          <w:lang w:val="en-GB" w:eastAsia="zh-CN"/>
        </w:rPr>
      </w:pPr>
    </w:p>
    <w:p w14:paraId="3C804690" w14:textId="7EDE4FE3" w:rsidR="007B2B4B" w:rsidRDefault="007B2B4B" w:rsidP="00D30CD6">
      <w:pPr>
        <w:rPr>
          <w:lang w:val="en-GB" w:eastAsia="zh-CN"/>
        </w:rPr>
      </w:pPr>
      <w:r>
        <w:rPr>
          <w:lang w:val="en-GB" w:eastAsia="zh-CN"/>
        </w:rPr>
        <w:t xml:space="preserve">Nevertheless, the RAN4 agreement was to consider the satellite access node as one box, not specifying any limits for the sub-components inside that box. </w:t>
      </w:r>
      <w:r w:rsidR="009710C6">
        <w:rPr>
          <w:lang w:val="en-GB" w:eastAsia="zh-CN"/>
        </w:rPr>
        <w:t>E</w:t>
      </w:r>
      <w:r w:rsidR="001E4C6D">
        <w:rPr>
          <w:lang w:val="en-GB" w:eastAsia="zh-CN"/>
        </w:rPr>
        <w:t xml:space="preserve">ven if some sub-components could be source of unwanted emissions (e.g. NTN Gateway), no requirement should be set in 3GPP for those sub-components, it will be up to the satellite access node manufacturer to make sure those </w:t>
      </w:r>
      <w:r w:rsidR="006E05CA">
        <w:rPr>
          <w:lang w:val="en-GB" w:eastAsia="zh-CN"/>
        </w:rPr>
        <w:t>sub-</w:t>
      </w:r>
      <w:r w:rsidR="001E4C6D">
        <w:rPr>
          <w:lang w:val="en-GB" w:eastAsia="zh-CN"/>
        </w:rPr>
        <w:t>components will comply with any Regulatory limit. From RAN4’s point of view, this will be considered as an implementation topic.</w:t>
      </w:r>
    </w:p>
    <w:p w14:paraId="1A894CEF" w14:textId="475BD8E0" w:rsidR="00065A4D" w:rsidRPr="00065A4D" w:rsidRDefault="00065A4D" w:rsidP="00D30CD6">
      <w:pPr>
        <w:rPr>
          <w:b/>
          <w:bCs/>
          <w:lang w:val="en-GB" w:eastAsia="zh-CN"/>
        </w:rPr>
      </w:pPr>
      <w:r w:rsidRPr="00065A4D">
        <w:rPr>
          <w:b/>
          <w:bCs/>
          <w:lang w:val="en-GB" w:eastAsia="zh-CN"/>
        </w:rPr>
        <w:t>Observation 1: RAN4 will set requirements for the “satellite access node” as a whole.</w:t>
      </w:r>
      <w:r w:rsidR="001E4C6D">
        <w:rPr>
          <w:b/>
          <w:bCs/>
          <w:lang w:val="en-GB" w:eastAsia="zh-CN"/>
        </w:rPr>
        <w:t xml:space="preserve"> RAN4 will not specify requirement for any sub-component. </w:t>
      </w:r>
    </w:p>
    <w:p w14:paraId="1DA08B80" w14:textId="768A5E4A" w:rsidR="007B2B4B" w:rsidRDefault="007B2B4B" w:rsidP="00D30CD6">
      <w:pPr>
        <w:rPr>
          <w:lang w:val="en-GB" w:eastAsia="zh-CN"/>
        </w:rPr>
      </w:pPr>
      <w:r>
        <w:rPr>
          <w:lang w:val="en-GB" w:eastAsia="zh-CN"/>
        </w:rPr>
        <w:t xml:space="preserve">Also, </w:t>
      </w:r>
      <w:r w:rsidR="00601F6A">
        <w:rPr>
          <w:lang w:val="en-GB" w:eastAsia="zh-CN"/>
        </w:rPr>
        <w:t xml:space="preserve">looking at where would be the reference points (see </w:t>
      </w:r>
      <w:r w:rsidR="006C1B72">
        <w:rPr>
          <w:lang w:val="en-GB" w:eastAsia="zh-CN"/>
        </w:rPr>
        <w:fldChar w:fldCharType="begin"/>
      </w:r>
      <w:r w:rsidR="006C1B72">
        <w:rPr>
          <w:lang w:val="en-GB" w:eastAsia="zh-CN"/>
        </w:rPr>
        <w:instrText xml:space="preserve"> REF _Ref84579138 \h </w:instrText>
      </w:r>
      <w:r w:rsidR="006C1B72">
        <w:rPr>
          <w:lang w:val="en-GB" w:eastAsia="zh-CN"/>
        </w:rPr>
      </w:r>
      <w:r w:rsidR="006C1B72">
        <w:rPr>
          <w:lang w:val="en-GB" w:eastAsia="zh-CN"/>
        </w:rPr>
        <w:fldChar w:fldCharType="separate"/>
      </w:r>
      <w:r w:rsidR="006C1B72">
        <w:t xml:space="preserve">Figure </w:t>
      </w:r>
      <w:r w:rsidR="006C1B72">
        <w:rPr>
          <w:noProof/>
        </w:rPr>
        <w:t>2</w:t>
      </w:r>
      <w:r w:rsidR="006C1B72">
        <w:rPr>
          <w:lang w:val="en-GB" w:eastAsia="zh-CN"/>
        </w:rPr>
        <w:fldChar w:fldCharType="end"/>
      </w:r>
      <w:r w:rsidR="00601F6A">
        <w:rPr>
          <w:lang w:val="en-GB" w:eastAsia="zh-CN"/>
        </w:rPr>
        <w:t>), the specified limits for the satellite access node should be applicable at the NTN payload level.</w:t>
      </w:r>
    </w:p>
    <w:p w14:paraId="5EDCEDB7" w14:textId="77777777" w:rsidR="006C1B72" w:rsidRDefault="00AF1EBD" w:rsidP="006C1B72">
      <w:pPr>
        <w:keepNext/>
        <w:ind w:left="432"/>
      </w:pPr>
      <w:r>
        <w:rPr>
          <w:lang w:eastAsia="zh-CN"/>
        </w:rPr>
        <w:pict w14:anchorId="7FA092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75pt;height:170.5pt">
            <v:imagedata r:id="rId12" o:title=""/>
          </v:shape>
        </w:pict>
      </w:r>
    </w:p>
    <w:p w14:paraId="20B9B071" w14:textId="2B837665" w:rsidR="00601F6A" w:rsidRPr="007B2B4B" w:rsidRDefault="006C1B72" w:rsidP="006C1B72">
      <w:pPr>
        <w:pStyle w:val="Caption"/>
        <w:ind w:left="720" w:firstLine="720"/>
        <w:rPr>
          <w:lang w:val="en-GB" w:eastAsia="zh-CN"/>
        </w:rPr>
      </w:pPr>
      <w:bookmarkStart w:id="2" w:name="_Ref84579138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2"/>
      <w:r>
        <w:t>: Satellite access node type 1-H: Access points</w:t>
      </w:r>
    </w:p>
    <w:p w14:paraId="207D10B1" w14:textId="7E8BFA2F" w:rsidR="00065A4D" w:rsidRPr="00065A4D" w:rsidRDefault="00065A4D" w:rsidP="00D30CD6">
      <w:pPr>
        <w:rPr>
          <w:b/>
          <w:bCs/>
          <w:lang w:val="en-GB" w:eastAsia="zh-CN"/>
        </w:rPr>
      </w:pPr>
      <w:r w:rsidRPr="00065A4D">
        <w:rPr>
          <w:b/>
          <w:bCs/>
          <w:lang w:val="en-GB" w:eastAsia="zh-CN"/>
        </w:rPr>
        <w:t xml:space="preserve">Observation 2: The reference point for satellite access node type 1-H </w:t>
      </w:r>
      <w:r>
        <w:rPr>
          <w:b/>
          <w:bCs/>
          <w:lang w:val="en-GB" w:eastAsia="zh-CN"/>
        </w:rPr>
        <w:t>w</w:t>
      </w:r>
      <w:r w:rsidRPr="00065A4D">
        <w:rPr>
          <w:b/>
          <w:bCs/>
          <w:lang w:val="en-GB" w:eastAsia="zh-CN"/>
        </w:rPr>
        <w:t xml:space="preserve">ould </w:t>
      </w:r>
      <w:r>
        <w:rPr>
          <w:b/>
          <w:bCs/>
          <w:lang w:val="en-GB" w:eastAsia="zh-CN"/>
        </w:rPr>
        <w:t xml:space="preserve">most likely </w:t>
      </w:r>
      <w:r w:rsidRPr="00065A4D">
        <w:rPr>
          <w:b/>
          <w:bCs/>
          <w:lang w:val="en-GB" w:eastAsia="zh-CN"/>
        </w:rPr>
        <w:t>be located in the NTN payload.</w:t>
      </w:r>
    </w:p>
    <w:p w14:paraId="730CD608" w14:textId="2741C05A" w:rsidR="007B2B4B" w:rsidRPr="00601F6A" w:rsidRDefault="00601F6A" w:rsidP="00D30CD6">
      <w:pPr>
        <w:rPr>
          <w:lang w:val="en-GB" w:eastAsia="zh-CN"/>
        </w:rPr>
      </w:pPr>
      <w:r w:rsidRPr="00601F6A">
        <w:rPr>
          <w:lang w:val="en-GB" w:eastAsia="zh-CN"/>
        </w:rPr>
        <w:t>Based on those observations, for the satellite access node, we don’t think we should re-use the spurious limits specified in TS 38.104, but refer to ERC 74-01 limits specified for Space stations, which refer to Annex 3 of ITU Radio Regulations.</w:t>
      </w:r>
    </w:p>
    <w:p w14:paraId="2B99701D" w14:textId="24E8928F" w:rsidR="00601F6A" w:rsidRDefault="00065A4D" w:rsidP="00D30CD6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Proposal : Specify satellite access node’ spurious emissions based on ERC 74-01 Space stations’ limits, i.e. ITU Radio Regulations Annex 3.</w:t>
      </w:r>
    </w:p>
    <w:p w14:paraId="094B4C66" w14:textId="77777777" w:rsidR="00DE6E94" w:rsidRPr="009641C0" w:rsidRDefault="00DE6E94" w:rsidP="00D30CD6">
      <w:pPr>
        <w:rPr>
          <w:b/>
          <w:bCs/>
          <w:lang w:val="en-GB" w:eastAsia="zh-CN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lastRenderedPageBreak/>
        <w:t>Conclusion</w:t>
      </w:r>
    </w:p>
    <w:p w14:paraId="1A77318D" w14:textId="48AE8635" w:rsidR="00EB476E" w:rsidRDefault="00744830" w:rsidP="00EB476E">
      <w:pPr>
        <w:spacing w:after="120"/>
        <w:jc w:val="both"/>
      </w:pPr>
      <w:r w:rsidRPr="00467DC3">
        <w:t>In this contribution,</w:t>
      </w:r>
      <w:r w:rsidR="0021007D">
        <w:t xml:space="preserve"> </w:t>
      </w:r>
      <w:r w:rsidR="00474B54">
        <w:t xml:space="preserve">we </w:t>
      </w:r>
      <w:r w:rsidR="000470EA">
        <w:t xml:space="preserve">further </w:t>
      </w:r>
      <w:r w:rsidR="00DE5229">
        <w:t>discussed</w:t>
      </w:r>
      <w:r w:rsidR="007B66CE">
        <w:t xml:space="preserve"> </w:t>
      </w:r>
      <w:r w:rsidR="009B397B">
        <w:t>the</w:t>
      </w:r>
      <w:r w:rsidR="000110C9">
        <w:t xml:space="preserve"> satellite access node RF Tx requirements. We made the following observations and proposal:</w:t>
      </w:r>
    </w:p>
    <w:p w14:paraId="112DA712" w14:textId="7C33230C" w:rsidR="000110C9" w:rsidRDefault="000110C9" w:rsidP="000110C9">
      <w:pPr>
        <w:rPr>
          <w:b/>
          <w:bCs/>
          <w:lang w:val="en-GB" w:eastAsia="zh-CN"/>
        </w:rPr>
      </w:pPr>
      <w:r w:rsidRPr="00065A4D">
        <w:rPr>
          <w:b/>
          <w:bCs/>
          <w:lang w:val="en-GB" w:eastAsia="zh-CN"/>
        </w:rPr>
        <w:t>Observation 1: RAN4 will set requirements for the “satellite access node” as a whole.</w:t>
      </w:r>
      <w:r w:rsidR="001E4C6D">
        <w:rPr>
          <w:b/>
          <w:bCs/>
          <w:lang w:val="en-GB" w:eastAsia="zh-CN"/>
        </w:rPr>
        <w:t xml:space="preserve"> RAN4 will not specify requirement for any sub-component.</w:t>
      </w:r>
    </w:p>
    <w:p w14:paraId="42F482B9" w14:textId="3947C3C1" w:rsidR="000110C9" w:rsidRPr="00065A4D" w:rsidRDefault="000110C9" w:rsidP="000110C9">
      <w:pPr>
        <w:rPr>
          <w:b/>
          <w:bCs/>
          <w:lang w:val="en-GB" w:eastAsia="zh-CN"/>
        </w:rPr>
      </w:pPr>
      <w:r w:rsidRPr="00065A4D">
        <w:rPr>
          <w:b/>
          <w:bCs/>
          <w:lang w:val="en-GB" w:eastAsia="zh-CN"/>
        </w:rPr>
        <w:t xml:space="preserve">Observation 2: The reference point for satellite access node type 1-H </w:t>
      </w:r>
      <w:r>
        <w:rPr>
          <w:b/>
          <w:bCs/>
          <w:lang w:val="en-GB" w:eastAsia="zh-CN"/>
        </w:rPr>
        <w:t>w</w:t>
      </w:r>
      <w:r w:rsidRPr="00065A4D">
        <w:rPr>
          <w:b/>
          <w:bCs/>
          <w:lang w:val="en-GB" w:eastAsia="zh-CN"/>
        </w:rPr>
        <w:t xml:space="preserve">ould </w:t>
      </w:r>
      <w:r>
        <w:rPr>
          <w:b/>
          <w:bCs/>
          <w:lang w:val="en-GB" w:eastAsia="zh-CN"/>
        </w:rPr>
        <w:t xml:space="preserve">most likely </w:t>
      </w:r>
      <w:r w:rsidRPr="00065A4D">
        <w:rPr>
          <w:b/>
          <w:bCs/>
          <w:lang w:val="en-GB" w:eastAsia="zh-CN"/>
        </w:rPr>
        <w:t>be located in the NTN payload.</w:t>
      </w:r>
    </w:p>
    <w:p w14:paraId="52AC9C49" w14:textId="77777777" w:rsidR="000110C9" w:rsidRDefault="000110C9" w:rsidP="000110C9">
      <w:pPr>
        <w:rPr>
          <w:b/>
          <w:bCs/>
          <w:lang w:val="en-GB" w:eastAsia="zh-CN"/>
        </w:rPr>
      </w:pPr>
    </w:p>
    <w:p w14:paraId="4DD0C052" w14:textId="25D760E3" w:rsidR="000110C9" w:rsidRPr="009641C0" w:rsidRDefault="000110C9" w:rsidP="000110C9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Proposal : Specify satellite access node’ spurious emissions based on ERC 74-01 Space stations’ limits, i.e. ITU Radio Regulations Annex 3.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E31158D" w14:textId="77777777" w:rsidR="00974B3A" w:rsidRPr="00C647B4" w:rsidRDefault="00974B3A" w:rsidP="00974B3A">
      <w:pPr>
        <w:numPr>
          <w:ilvl w:val="0"/>
          <w:numId w:val="9"/>
        </w:numPr>
        <w:rPr>
          <w:bCs/>
        </w:rPr>
      </w:pPr>
      <w:bookmarkStart w:id="3" w:name="_Ref71297840"/>
      <w:r w:rsidRPr="00C647B4">
        <w:t>RP-20</w:t>
      </w:r>
      <w:r>
        <w:t>1256</w:t>
      </w:r>
      <w:r w:rsidRPr="00C647B4">
        <w:t xml:space="preserve">, </w:t>
      </w:r>
      <w:r w:rsidRPr="00D130F7">
        <w:t>Solutions for NR to support non-terrestrial networks (NTN), Thales</w:t>
      </w:r>
      <w:bookmarkEnd w:id="3"/>
      <w:r w:rsidRPr="00C647B4">
        <w:t xml:space="preserve"> </w:t>
      </w:r>
    </w:p>
    <w:p w14:paraId="33347ACA" w14:textId="3C0D0211" w:rsidR="00C56E50" w:rsidRPr="00C647B4" w:rsidRDefault="00C56E50" w:rsidP="00C56E50">
      <w:pPr>
        <w:numPr>
          <w:ilvl w:val="0"/>
          <w:numId w:val="9"/>
        </w:numPr>
        <w:rPr>
          <w:bCs/>
          <w:lang w:val="en-US"/>
        </w:rPr>
      </w:pPr>
      <w:bookmarkStart w:id="4" w:name="_Ref61295180"/>
      <w:r w:rsidRPr="00C647B4">
        <w:rPr>
          <w:lang w:val="en-US"/>
        </w:rPr>
        <w:t>RP-2</w:t>
      </w:r>
      <w:r w:rsidR="00A55351">
        <w:rPr>
          <w:lang w:val="en-US"/>
        </w:rPr>
        <w:t>11</w:t>
      </w:r>
      <w:r w:rsidR="00EA397A">
        <w:rPr>
          <w:lang w:val="en-US"/>
        </w:rPr>
        <w:t>784</w:t>
      </w:r>
      <w:r w:rsidRPr="00C647B4">
        <w:rPr>
          <w:lang w:val="en-US"/>
        </w:rPr>
        <w:t xml:space="preserve">, </w:t>
      </w:r>
      <w:r w:rsidRPr="00D130F7">
        <w:rPr>
          <w:lang w:val="en-US"/>
        </w:rPr>
        <w:t>Solutions for NR to support non-terrestrial networks (NTN), Thales</w:t>
      </w:r>
      <w:bookmarkEnd w:id="4"/>
      <w:r w:rsidRPr="00C647B4">
        <w:rPr>
          <w:lang w:val="en-US"/>
        </w:rPr>
        <w:t xml:space="preserve"> </w:t>
      </w:r>
    </w:p>
    <w:p w14:paraId="0426CE8E" w14:textId="16C9011E" w:rsidR="00FF3216" w:rsidRPr="00FF3216" w:rsidRDefault="001A6F7E" w:rsidP="00FF3216">
      <w:pPr>
        <w:numPr>
          <w:ilvl w:val="0"/>
          <w:numId w:val="9"/>
        </w:numPr>
        <w:rPr>
          <w:lang w:eastAsia="ja-JP"/>
        </w:rPr>
      </w:pPr>
      <w:bookmarkStart w:id="5" w:name="_Ref67507636"/>
      <w:bookmarkStart w:id="6" w:name="_Ref61295265"/>
      <w:r>
        <w:rPr>
          <w:lang w:val="en-GB" w:eastAsia="ja-JP"/>
        </w:rPr>
        <w:t>R4-21</w:t>
      </w:r>
      <w:r w:rsidR="0093068D">
        <w:rPr>
          <w:lang w:val="en-GB" w:eastAsia="ja-JP"/>
        </w:rPr>
        <w:t>1564</w:t>
      </w:r>
      <w:r w:rsidR="00FF3216">
        <w:rPr>
          <w:lang w:val="en-GB" w:eastAsia="ja-JP"/>
        </w:rPr>
        <w:t>1</w:t>
      </w:r>
      <w:r>
        <w:rPr>
          <w:lang w:val="en-GB" w:eastAsia="ja-JP"/>
        </w:rPr>
        <w:t xml:space="preserve">, </w:t>
      </w:r>
      <w:bookmarkEnd w:id="5"/>
      <w:r w:rsidR="00FF3216" w:rsidRPr="00FF3216">
        <w:rPr>
          <w:bCs/>
          <w:lang w:val="en-CA" w:eastAsia="ja-JP"/>
        </w:rPr>
        <w:t xml:space="preserve">WF on NTN </w:t>
      </w:r>
      <w:r w:rsidR="00FF3216" w:rsidRPr="00FF3216">
        <w:rPr>
          <w:bCs/>
          <w:lang w:val="en-US" w:eastAsia="ja-JP"/>
        </w:rPr>
        <w:t>BS RF requirements (BS type 1-H)</w:t>
      </w:r>
      <w:r w:rsidR="00FF3216">
        <w:rPr>
          <w:bCs/>
          <w:lang w:val="en-US" w:eastAsia="ja-JP"/>
        </w:rPr>
        <w:t>, CATT</w:t>
      </w:r>
    </w:p>
    <w:p w14:paraId="603AB435" w14:textId="5FCED003" w:rsidR="00AF431D" w:rsidRPr="009B397B" w:rsidRDefault="00AF431D" w:rsidP="00C56E50">
      <w:pPr>
        <w:numPr>
          <w:ilvl w:val="0"/>
          <w:numId w:val="9"/>
        </w:numPr>
        <w:rPr>
          <w:lang w:val="en-US" w:eastAsia="ja-JP"/>
        </w:rPr>
      </w:pPr>
    </w:p>
    <w:bookmarkEnd w:id="6"/>
    <w:p w14:paraId="4BCA6446" w14:textId="77777777" w:rsidR="00AE3571" w:rsidRPr="007A1680" w:rsidRDefault="00AE3571" w:rsidP="0093068D">
      <w:pPr>
        <w:ind w:left="405"/>
        <w:rPr>
          <w:lang w:val="en-US" w:eastAsia="ja-JP"/>
        </w:rPr>
      </w:pPr>
    </w:p>
    <w:sectPr w:rsidR="00AE3571" w:rsidRPr="007A168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C8E97" w14:textId="77777777" w:rsidR="00AF1EBD" w:rsidRDefault="00AF1EBD">
      <w:r>
        <w:separator/>
      </w:r>
    </w:p>
  </w:endnote>
  <w:endnote w:type="continuationSeparator" w:id="0">
    <w:p w14:paraId="3629F33C" w14:textId="77777777" w:rsidR="00AF1EBD" w:rsidRDefault="00AF1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F29682" w14:textId="77777777" w:rsidR="00AF1EBD" w:rsidRDefault="00AF1EBD">
      <w:r>
        <w:separator/>
      </w:r>
    </w:p>
  </w:footnote>
  <w:footnote w:type="continuationSeparator" w:id="0">
    <w:p w14:paraId="2FD1B228" w14:textId="77777777" w:rsidR="00AF1EBD" w:rsidRDefault="00AF1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00C7510"/>
    <w:multiLevelType w:val="hybridMultilevel"/>
    <w:tmpl w:val="82461C8E"/>
    <w:lvl w:ilvl="0" w:tplc="75BC50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119A2"/>
    <w:multiLevelType w:val="hybridMultilevel"/>
    <w:tmpl w:val="5DACF994"/>
    <w:lvl w:ilvl="0" w:tplc="EFF64974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6783C81"/>
    <w:multiLevelType w:val="hybridMultilevel"/>
    <w:tmpl w:val="3F0876BA"/>
    <w:lvl w:ilvl="0" w:tplc="E22645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D2D783C"/>
    <w:multiLevelType w:val="hybridMultilevel"/>
    <w:tmpl w:val="82461C8E"/>
    <w:lvl w:ilvl="0" w:tplc="75BC50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DD210C"/>
    <w:multiLevelType w:val="hybridMultilevel"/>
    <w:tmpl w:val="C3A8769C"/>
    <w:lvl w:ilvl="0" w:tplc="DC30C1BC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FDD6F8B"/>
    <w:multiLevelType w:val="hybridMultilevel"/>
    <w:tmpl w:val="D4100804"/>
    <w:lvl w:ilvl="0" w:tplc="68C6FD58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8B700F"/>
    <w:multiLevelType w:val="hybridMultilevel"/>
    <w:tmpl w:val="3F0876BA"/>
    <w:lvl w:ilvl="0" w:tplc="E22645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F46EB7"/>
    <w:multiLevelType w:val="hybridMultilevel"/>
    <w:tmpl w:val="DF22B380"/>
    <w:lvl w:ilvl="0" w:tplc="630663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0821B6"/>
    <w:multiLevelType w:val="hybridMultilevel"/>
    <w:tmpl w:val="0BB2192A"/>
    <w:lvl w:ilvl="0" w:tplc="27FC65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10563"/>
    <w:multiLevelType w:val="hybridMultilevel"/>
    <w:tmpl w:val="8954F0F8"/>
    <w:lvl w:ilvl="0" w:tplc="23967F9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8" w15:restartNumberingAfterBreak="0">
    <w:nsid w:val="4EAD1712"/>
    <w:multiLevelType w:val="hybridMultilevel"/>
    <w:tmpl w:val="DF22B380"/>
    <w:lvl w:ilvl="0" w:tplc="630663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8755704"/>
    <w:multiLevelType w:val="hybridMultilevel"/>
    <w:tmpl w:val="11E60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D0821"/>
    <w:multiLevelType w:val="hybridMultilevel"/>
    <w:tmpl w:val="EFC0596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FB3312B"/>
    <w:multiLevelType w:val="hybridMultilevel"/>
    <w:tmpl w:val="65DE7FDE"/>
    <w:lvl w:ilvl="0" w:tplc="1EBEC28E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9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6" w15:restartNumberingAfterBreak="0">
    <w:nsid w:val="7DAF6400"/>
    <w:multiLevelType w:val="hybridMultilevel"/>
    <w:tmpl w:val="5770CED8"/>
    <w:lvl w:ilvl="0" w:tplc="EFB8161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42"/>
  </w:num>
  <w:num w:numId="4">
    <w:abstractNumId w:val="5"/>
  </w:num>
  <w:num w:numId="5">
    <w:abstractNumId w:val="29"/>
  </w:num>
  <w:num w:numId="6">
    <w:abstractNumId w:val="20"/>
  </w:num>
  <w:num w:numId="7">
    <w:abstractNumId w:val="18"/>
  </w:num>
  <w:num w:numId="8">
    <w:abstractNumId w:val="30"/>
  </w:num>
  <w:num w:numId="9">
    <w:abstractNumId w:val="45"/>
  </w:num>
  <w:num w:numId="10">
    <w:abstractNumId w:val="39"/>
  </w:num>
  <w:num w:numId="11">
    <w:abstractNumId w:val="38"/>
  </w:num>
  <w:num w:numId="12">
    <w:abstractNumId w:val="19"/>
  </w:num>
  <w:num w:numId="13">
    <w:abstractNumId w:val="40"/>
  </w:num>
  <w:num w:numId="14">
    <w:abstractNumId w:val="4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44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31"/>
  </w:num>
  <w:num w:numId="20">
    <w:abstractNumId w:val="6"/>
  </w:num>
  <w:num w:numId="21">
    <w:abstractNumId w:val="27"/>
  </w:num>
  <w:num w:numId="22">
    <w:abstractNumId w:val="18"/>
  </w:num>
  <w:num w:numId="23">
    <w:abstractNumId w:val="8"/>
  </w:num>
  <w:num w:numId="24">
    <w:abstractNumId w:val="12"/>
  </w:num>
  <w:num w:numId="25">
    <w:abstractNumId w:val="13"/>
  </w:num>
  <w:num w:numId="26">
    <w:abstractNumId w:val="36"/>
  </w:num>
  <w:num w:numId="27">
    <w:abstractNumId w:val="9"/>
  </w:num>
  <w:num w:numId="28">
    <w:abstractNumId w:val="14"/>
  </w:num>
  <w:num w:numId="29">
    <w:abstractNumId w:val="22"/>
  </w:num>
  <w:num w:numId="30">
    <w:abstractNumId w:val="3"/>
  </w:num>
  <w:num w:numId="31">
    <w:abstractNumId w:val="25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41"/>
  </w:num>
  <w:num w:numId="34">
    <w:abstractNumId w:val="37"/>
  </w:num>
  <w:num w:numId="35">
    <w:abstractNumId w:val="35"/>
  </w:num>
  <w:num w:numId="36">
    <w:abstractNumId w:val="34"/>
  </w:num>
  <w:num w:numId="37">
    <w:abstractNumId w:val="11"/>
  </w:num>
  <w:num w:numId="38">
    <w:abstractNumId w:val="26"/>
  </w:num>
  <w:num w:numId="39">
    <w:abstractNumId w:val="24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</w:num>
  <w:num w:numId="42">
    <w:abstractNumId w:val="46"/>
  </w:num>
  <w:num w:numId="43">
    <w:abstractNumId w:val="10"/>
  </w:num>
  <w:num w:numId="44">
    <w:abstractNumId w:val="7"/>
  </w:num>
  <w:num w:numId="45">
    <w:abstractNumId w:val="23"/>
  </w:num>
  <w:num w:numId="46">
    <w:abstractNumId w:val="1"/>
  </w:num>
  <w:num w:numId="47">
    <w:abstractNumId w:val="21"/>
  </w:num>
  <w:num w:numId="48">
    <w:abstractNumId w:val="28"/>
  </w:num>
  <w:num w:numId="49">
    <w:abstractNumId w:val="33"/>
  </w:num>
  <w:num w:numId="50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0C9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5A4D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922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2964"/>
    <w:rsid w:val="001E2ACC"/>
    <w:rsid w:val="001E3ADC"/>
    <w:rsid w:val="001E46D7"/>
    <w:rsid w:val="001E4726"/>
    <w:rsid w:val="001E4C6D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3752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4FF3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1F6A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1B72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5CA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B4B"/>
    <w:rsid w:val="007B32DE"/>
    <w:rsid w:val="007B3635"/>
    <w:rsid w:val="007B3B8B"/>
    <w:rsid w:val="007B3E7C"/>
    <w:rsid w:val="007B420E"/>
    <w:rsid w:val="007B5E41"/>
    <w:rsid w:val="007B66CE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8EF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7F7927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6CE8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04C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5B0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0C6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B1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1EBD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4977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350D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7B8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5B9C"/>
    <w:rsid w:val="00D8779B"/>
    <w:rsid w:val="00D87AEB"/>
    <w:rsid w:val="00D87CC2"/>
    <w:rsid w:val="00D90EAE"/>
    <w:rsid w:val="00D923BF"/>
    <w:rsid w:val="00D92470"/>
    <w:rsid w:val="00D94C30"/>
    <w:rsid w:val="00D95EE6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B7492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E6E94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E0D"/>
    <w:rsid w:val="00E042A7"/>
    <w:rsid w:val="00E05B61"/>
    <w:rsid w:val="00E06611"/>
    <w:rsid w:val="00E06DB0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1B5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403"/>
    <w:rsid w:val="00EC3469"/>
    <w:rsid w:val="00EC3BA4"/>
    <w:rsid w:val="00EC3E8F"/>
    <w:rsid w:val="00EC4748"/>
    <w:rsid w:val="00EC5E4C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4B0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216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6E94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E6E9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6E94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10231</TotalTime>
  <Pages>3</Pages>
  <Words>643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282</cp:revision>
  <cp:lastPrinted>2001-04-23T09:30:00Z</cp:lastPrinted>
  <dcterms:created xsi:type="dcterms:W3CDTF">2020-10-15T14:48:00Z</dcterms:created>
  <dcterms:modified xsi:type="dcterms:W3CDTF">2021-10-22T09:07:00Z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